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</w:r>
      <w:r/>
    </w:p>
    <w:tbl>
      <w:tblPr>
        <w:tblStyle w:val="62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>
        <w:trPr/>
        <w:tc>
          <w:tcPr>
            <w:tcW w:w="3273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на педагогическом совете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МБОУ "Тюрнясевская СОШ"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Тришина Е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М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“29.08.2025”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/>
          </w:p>
        </w:tc>
        <w:tc>
          <w:tcPr>
            <w:tcW w:w="3284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</w:tc>
        <w:tc>
          <w:tcPr>
            <w:tcW w:w="3365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УТВЕРЖДЕНО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"Тюрнясевская СОШ"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Михейкин В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А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Приказ №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__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-ОД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“29.08.2025”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</w:tc>
      </w:tr>
    </w:tbl>
    <w:p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УЧЕБНЫЙ ПЛАН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среднего</w:t>
      </w:r>
      <w:r>
        <w:rPr>
          <w:rFonts w:asciiTheme="majorBidi" w:hAnsiTheme="majorBidi" w:cstheme="majorBidi"/>
          <w:sz w:val="28"/>
          <w:szCs w:val="28"/>
        </w:rPr>
        <w:t xml:space="preserve"> общего </w:t>
      </w:r>
      <w:r>
        <w:rPr>
          <w:rFonts w:asciiTheme="majorBidi" w:hAnsiTheme="majorBidi" w:cstheme="majorBidi"/>
          <w:sz w:val="28"/>
          <w:szCs w:val="28"/>
        </w:rPr>
        <w:t xml:space="preserve">образования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 xml:space="preserve">–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2026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Нурлатский муниципальный район, </w:t>
      </w:r>
      <w:r>
        <w:rPr>
          <w:rFonts w:asciiTheme="majorBidi" w:hAnsiTheme="majorBidi" w:cstheme="majorBidi"/>
          <w:sz w:val="28"/>
          <w:szCs w:val="28"/>
        </w:rPr>
        <w:t xml:space="preserve">Республика Татарстан (Татарстан)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2025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 w:clear="all"/>
      </w:r>
      <w:r>
        <w:rPr>
          <w:rFonts w:asciiTheme="majorBidi" w:hAnsiTheme="majorBidi" w:cstheme="majorBidi"/>
          <w:sz w:val="28"/>
          <w:szCs w:val="28"/>
        </w:rPr>
        <w:t xml:space="preserve">ПОЯСНИТЕЛЬНАЯ ЗАПИСКА</w:t>
      </w:r>
      <w:r/>
    </w:p>
    <w:p>
      <w:pPr>
        <w:jc w:val="center"/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среднего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10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-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11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классов, реализующих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среднего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ую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ФГОС С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 xml:space="preserve">Приказ Министерства просвещения Российской Федерации от 1</w:t>
      </w:r>
      <w:r>
        <w:rPr>
          <w:rFonts w:asciiTheme="majorBidi" w:hAnsiTheme="majorBidi" w:cstheme="majorBidi"/>
          <w:sz w:val="28"/>
          <w:szCs w:val="28"/>
        </w:rPr>
        <w:t xml:space="preserve">7</w:t>
      </w:r>
      <w:r>
        <w:rPr>
          <w:rFonts w:asciiTheme="majorBidi" w:hAnsiTheme="majorBidi" w:cstheme="majorBidi"/>
          <w:sz w:val="28"/>
          <w:szCs w:val="28"/>
        </w:rPr>
        <w:t xml:space="preserve">.0</w:t>
      </w:r>
      <w:r>
        <w:rPr>
          <w:rFonts w:asciiTheme="majorBidi" w:hAnsiTheme="majorBidi" w:cstheme="majorBidi"/>
          <w:sz w:val="28"/>
          <w:szCs w:val="28"/>
        </w:rPr>
        <w:t xml:space="preserve">5</w:t>
      </w:r>
      <w:r>
        <w:rPr>
          <w:rFonts w:asciiTheme="majorBidi" w:hAnsiTheme="majorBidi" w:cstheme="majorBidi"/>
          <w:sz w:val="28"/>
          <w:szCs w:val="28"/>
        </w:rPr>
        <w:t xml:space="preserve">.20</w:t>
      </w:r>
      <w:r>
        <w:rPr>
          <w:rFonts w:asciiTheme="majorBidi" w:hAnsiTheme="majorBidi" w:cstheme="majorBidi"/>
          <w:sz w:val="28"/>
          <w:szCs w:val="28"/>
        </w:rPr>
        <w:t xml:space="preserve">1</w:t>
      </w:r>
      <w:r>
        <w:rPr>
          <w:rFonts w:asciiTheme="majorBidi" w:hAnsiTheme="majorBidi" w:cstheme="majorBidi"/>
          <w:sz w:val="28"/>
          <w:szCs w:val="28"/>
        </w:rPr>
        <w:t xml:space="preserve">2 № </w:t>
      </w:r>
      <w:r>
        <w:rPr>
          <w:rFonts w:asciiTheme="majorBidi" w:hAnsiTheme="majorBidi" w:cstheme="majorBidi"/>
          <w:sz w:val="28"/>
          <w:szCs w:val="28"/>
        </w:rPr>
        <w:t xml:space="preserve">413</w:t>
      </w:r>
      <w:r>
        <w:rPr>
          <w:rFonts w:asciiTheme="majorBidi" w:hAnsiTheme="majorBidi" w:cstheme="majorBidi"/>
          <w:sz w:val="28"/>
          <w:szCs w:val="28"/>
        </w:rPr>
        <w:t xml:space="preserve"> «О</w:t>
      </w:r>
      <w:r>
        <w:rPr>
          <w:rFonts w:asciiTheme="majorBidi" w:hAnsiTheme="majorBidi" w:cstheme="majorBidi"/>
          <w:sz w:val="28"/>
          <w:szCs w:val="28"/>
        </w:rPr>
        <w:t xml:space="preserve">б утверждении</w:t>
      </w:r>
      <w:r>
        <w:rPr>
          <w:rFonts w:asciiTheme="majorBidi" w:hAnsiTheme="majorBidi" w:cstheme="majorBidi"/>
          <w:sz w:val="28"/>
          <w:szCs w:val="28"/>
        </w:rPr>
        <w:t xml:space="preserve"> федеральн</w:t>
      </w:r>
      <w:r>
        <w:rPr>
          <w:rFonts w:asciiTheme="majorBidi" w:hAnsiTheme="majorBidi" w:cstheme="majorBidi"/>
          <w:sz w:val="28"/>
          <w:szCs w:val="28"/>
        </w:rPr>
        <w:t xml:space="preserve">ого</w:t>
      </w:r>
      <w:r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>
        <w:rPr>
          <w:rFonts w:asciiTheme="majorBidi" w:hAnsiTheme="majorBidi" w:cstheme="majorBidi"/>
          <w:sz w:val="28"/>
          <w:szCs w:val="28"/>
        </w:rPr>
        <w:t xml:space="preserve">ого</w:t>
      </w:r>
      <w:r>
        <w:rPr>
          <w:rFonts w:asciiTheme="majorBidi" w:hAnsiTheme="majorBidi" w:cstheme="majorBidi"/>
          <w:sz w:val="28"/>
          <w:szCs w:val="28"/>
        </w:rPr>
        <w:t xml:space="preserve"> стандарт</w:t>
      </w:r>
      <w:r>
        <w:rPr>
          <w:rFonts w:asciiTheme="majorBidi" w:hAnsiTheme="majorBidi" w:cstheme="majorBidi"/>
          <w:sz w:val="28"/>
          <w:szCs w:val="28"/>
        </w:rPr>
        <w:t xml:space="preserve">а</w:t>
      </w:r>
      <w:r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)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среднего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общего образования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с учетом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Федеральной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образовательн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ой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программ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ой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среднего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санитарно-эпидемиологических требований СП 2.4.3648-20 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  <w:r/>
    </w:p>
    <w:p>
      <w:pPr>
        <w:ind w:firstLine="567"/>
        <w:jc w:val="both"/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начинается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01.09.2025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10-11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недели. 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10-11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6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-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т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10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3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7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ов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11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37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ов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 xml:space="preserve">[не указано]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/>
    </w:p>
    <w:p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языком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учения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язык</w:t>
      </w:r>
      <w:r>
        <w:rPr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РФ.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предметов </w:t>
      </w:r>
      <w:r>
        <w:rPr>
          <w:rStyle w:val="620"/>
          <w:rFonts w:asciiTheme="majorBidi" w:hAnsiTheme="majorBidi" w:cstheme="majorBidi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осуществляется д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еление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учащихся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на подгруппы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В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>
        <w:rPr>
          <w:rStyle w:val="620"/>
          <w:rFonts w:asciiTheme="majorBidi" w:hAnsiTheme="majorBidi" w:cstheme="majorBidi"/>
          <w:sz w:val="28"/>
          <w:szCs w:val="28"/>
          <w:highlight w:val="lightGray"/>
        </w:rPr>
        <w:t xml:space="preserve">универсальный, гуманитарный, социально-экономический, </w:t>
      </w:r>
      <w:r>
        <w:rPr>
          <w:rStyle w:val="620"/>
          <w:rFonts w:asciiTheme="majorBidi" w:hAnsiTheme="majorBidi" w:cstheme="majorBidi"/>
          <w:sz w:val="28"/>
          <w:szCs w:val="28"/>
          <w:highlight w:val="lightGray"/>
        </w:rPr>
        <w:t xml:space="preserve">технологический, агротехнологический, естественно-научный.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Промежуточная аттестация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–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обучающимися части содержания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(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полугодовое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Промежуточная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аттестация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полугодие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и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годовая аттестация обучающихся осуществляется в соответствии с календарным учебным графиком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полугодиям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безотметочными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Промежуточная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четверти.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620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Освоение основной образовательной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ы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среднего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государственной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итоговой аттестацией.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среднего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2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года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both"/>
        <w:rPr>
          <w:rStyle w:val="620"/>
          <w:rFonts w:asciiTheme="majorBidi" w:hAnsiTheme="majorBidi" w:cstheme="majorBidi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8" w:footer="708" w:gutter="0"/>
          <w:cols w:num="1" w:sep="0" w:space="708" w:equalWidth="1"/>
          <w:docGrid w:linePitch="360"/>
        </w:sect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tbl>
      <w:tblPr>
        <w:tblStyle w:val="623"/>
        <w:tblW w:w="0" w:type="auto"/>
        <w:tblLook w:val="04A0" w:firstRow="1" w:lastRow="0" w:firstColumn="1" w:lastColumn="0" w:noHBand="0" w:noVBand="1"/>
      </w:tblPr>
      <w:tblGrid>
        <w:gridCol w:w="3638"/>
        <w:gridCol w:w="3638"/>
        <w:gridCol w:w="3638"/>
        <w:gridCol w:w="3638"/>
      </w:tblGrid>
      <w:tr>
        <w:trPr/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r>
              <w:rPr>
                <w:b/>
              </w:rPr>
              <w:t xml:space="preserve">Предметная область</w:t>
            </w:r>
            <w:r/>
          </w:p>
        </w:tc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r>
              <w:rPr>
                <w:b/>
              </w:rPr>
              <w:t xml:space="preserve">Учебный предмет/курс</w:t>
            </w:r>
            <w:r/>
          </w:p>
        </w:tc>
        <w:tc>
          <w:tcPr>
            <w:gridSpan w:val="2"/>
            <w:shd w:val="clear" w:color="auto" w:fill="d9d9d9"/>
            <w:tcW w:w="7276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Количество часов в неделю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10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11</w:t>
            </w:r>
            <w:r/>
          </w:p>
        </w:tc>
      </w:tr>
      <w:tr>
        <w:trPr/>
        <w:tc>
          <w:tcPr>
            <w:gridSpan w:val="4"/>
            <w:shd w:val="clear" w:color="auto" w:fill="ffffb3"/>
            <w:tcW w:w="1455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Обязательная часть</w:t>
            </w:r>
            <w:r/>
          </w:p>
        </w:tc>
      </w:tr>
      <w:tr>
        <w:trPr/>
        <w:tc>
          <w:tcPr>
            <w:tcW w:w="3638" w:type="dxa"/>
            <w:vMerge w:val="restart"/>
            <w:textDirection w:val="lrTb"/>
            <w:noWrap w:val="false"/>
          </w:tcPr>
          <w:p>
            <w:r>
              <w:t xml:space="preserve">Русский язык и литература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Русский язык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Литература (углубленный уровень)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</w:tr>
      <w:tr>
        <w:trPr/>
        <w:tc>
          <w:tcPr>
            <w:tcW w:w="3638" w:type="dxa"/>
            <w:vMerge w:val="restart"/>
            <w:textDirection w:val="lrTb"/>
            <w:noWrap w:val="false"/>
          </w:tcPr>
          <w:p>
            <w:r>
              <w:t xml:space="preserve">Русский язык и родная литература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Родной язык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Родная литература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textDirection w:val="lrTb"/>
            <w:noWrap w:val="false"/>
          </w:tcPr>
          <w:p>
            <w:r>
              <w:t xml:space="preserve">Иностранные языки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Иностранный язык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3638" w:type="dxa"/>
            <w:vMerge w:val="restart"/>
            <w:textDirection w:val="lrTb"/>
            <w:noWrap w:val="false"/>
          </w:tcPr>
          <w:p>
            <w:r>
              <w:t xml:space="preserve">Математика и информатика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Алгебра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Геометрия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Вероятность и статистика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Информатика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vMerge w:val="restart"/>
            <w:textDirection w:val="lrTb"/>
            <w:noWrap w:val="false"/>
          </w:tcPr>
          <w:p>
            <w:r>
              <w:t xml:space="preserve">Общественно-научные предметы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История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Обществознание (углубленный уровень)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География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vMerge w:val="restart"/>
            <w:textDirection w:val="lrTb"/>
            <w:noWrap w:val="false"/>
          </w:tcPr>
          <w:p>
            <w:r>
              <w:t xml:space="preserve">Естественно-научные предметы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Физика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Химия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Биология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textDirection w:val="lrTb"/>
            <w:noWrap w:val="false"/>
          </w:tcPr>
          <w:p>
            <w:r>
              <w:t xml:space="preserve">Физическая культура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Физическая культура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3638" w:type="dxa"/>
            <w:textDirection w:val="lrTb"/>
            <w:noWrap w:val="false"/>
          </w:tcPr>
          <w:p>
            <w:r>
              <w:t xml:space="preserve">Основы безопасности и защиты Родины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Основы безопасности и защиты Родины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3638" w:type="dxa"/>
            <w:textDirection w:val="lrTb"/>
            <w:noWrap w:val="false"/>
          </w:tcPr>
          <w:p>
            <w:r>
              <w:t xml:space="preserve">-----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r>
              <w:t xml:space="preserve">Индивидуальный проект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gridSpan w:val="2"/>
            <w:shd w:val="clear" w:color="auto" w:fill="00ff00"/>
            <w:tcW w:w="7276" w:type="dxa"/>
            <w:textDirection w:val="lrTb"/>
            <w:noWrap w:val="false"/>
          </w:tcPr>
          <w:p>
            <w:r>
              <w:t xml:space="preserve">Итого</w:t>
            </w:r>
            <w:r/>
          </w:p>
        </w:tc>
        <w:tc>
          <w:tcPr>
            <w:shd w:val="clear" w:color="auto" w:fill="00ff00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00ff00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33</w:t>
            </w:r>
            <w:r/>
          </w:p>
        </w:tc>
      </w:tr>
      <w:tr>
        <w:trPr/>
        <w:tc>
          <w:tcPr>
            <w:gridSpan w:val="2"/>
            <w:shd w:val="clear" w:color="auto" w:fill="00ff00"/>
            <w:tcW w:w="7276" w:type="dxa"/>
            <w:textDirection w:val="lrTb"/>
            <w:noWrap w:val="false"/>
          </w:tcPr>
          <w:p>
            <w:r>
              <w:t xml:space="preserve">ИТОГО недельная нагрузка</w:t>
            </w:r>
            <w:r/>
          </w:p>
        </w:tc>
        <w:tc>
          <w:tcPr>
            <w:shd w:val="clear" w:color="auto" w:fill="00ff00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00ff00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33</w:t>
            </w:r>
            <w:r/>
          </w:p>
        </w:tc>
      </w:tr>
      <w:tr>
        <w:trPr/>
        <w:tc>
          <w:tcPr>
            <w:gridSpan w:val="2"/>
            <w:shd w:val="clear" w:color="auto" w:fill="fce3fc"/>
            <w:tcW w:w="7276" w:type="dxa"/>
            <w:textDirection w:val="lrTb"/>
            <w:noWrap w:val="false"/>
          </w:tcPr>
          <w:p>
            <w:r>
              <w:t xml:space="preserve">Количество учебных недель</w:t>
            </w:r>
            <w:r/>
          </w:p>
        </w:tc>
        <w:tc>
          <w:tcPr>
            <w:shd w:val="clear" w:color="auto" w:fill="fce3fc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fce3fc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</w:tr>
      <w:tr>
        <w:trPr/>
        <w:tc>
          <w:tcPr>
            <w:gridSpan w:val="2"/>
            <w:shd w:val="clear" w:color="auto" w:fill="fce3fc"/>
            <w:tcW w:w="7276" w:type="dxa"/>
            <w:textDirection w:val="lrTb"/>
            <w:noWrap w:val="false"/>
          </w:tcPr>
          <w:p>
            <w:r>
              <w:t xml:space="preserve">Всего часов в год</w:t>
            </w:r>
            <w:r/>
          </w:p>
        </w:tc>
        <w:tc>
          <w:tcPr>
            <w:shd w:val="clear" w:color="auto" w:fill="fce3fc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1156</w:t>
            </w:r>
            <w:r/>
          </w:p>
        </w:tc>
        <w:tc>
          <w:tcPr>
            <w:shd w:val="clear" w:color="auto" w:fill="fce3fc"/>
            <w:tcW w:w="3638" w:type="dxa"/>
            <w:textDirection w:val="lrTb"/>
            <w:noWrap w:val="false"/>
          </w:tcPr>
          <w:p>
            <w:pPr>
              <w:jc w:val="center"/>
            </w:pPr>
            <w:r>
              <w:t xml:space="preserve">1122</w:t>
            </w:r>
            <w:r/>
          </w:p>
        </w:tc>
      </w:tr>
    </w:tbl>
    <w:sectPr>
      <w:footnotePr/>
      <w:endnotePr/>
      <w:type w:val="nextPage"/>
      <w:pgSz w:w="16820" w:h="11900" w:orient="landscape"/>
      <w:pgMar w:top="850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8"/>
    <w:next w:val="60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8"/>
    <w:next w:val="60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10"/>
    <w:link w:val="1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10"/>
    <w:link w:val="609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8"/>
    <w:next w:val="60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8"/>
    <w:next w:val="60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8"/>
    <w:next w:val="60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8"/>
    <w:next w:val="60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8"/>
    <w:next w:val="60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8"/>
    <w:next w:val="60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8"/>
    <w:next w:val="60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10"/>
    <w:link w:val="33"/>
    <w:uiPriority w:val="10"/>
    <w:rPr>
      <w:sz w:val="48"/>
      <w:szCs w:val="48"/>
    </w:rPr>
  </w:style>
  <w:style w:type="paragraph" w:styleId="35">
    <w:name w:val="Subtitle"/>
    <w:basedOn w:val="608"/>
    <w:next w:val="60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10"/>
    <w:link w:val="35"/>
    <w:uiPriority w:val="11"/>
    <w:rPr>
      <w:sz w:val="24"/>
      <w:szCs w:val="24"/>
    </w:rPr>
  </w:style>
  <w:style w:type="paragraph" w:styleId="37">
    <w:name w:val="Quote"/>
    <w:basedOn w:val="608"/>
    <w:next w:val="60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8"/>
    <w:next w:val="60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10"/>
    <w:link w:val="41"/>
    <w:uiPriority w:val="99"/>
  </w:style>
  <w:style w:type="paragraph" w:styleId="43">
    <w:name w:val="Footer"/>
    <w:basedOn w:val="60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10"/>
    <w:link w:val="43"/>
    <w:uiPriority w:val="99"/>
  </w:style>
  <w:style w:type="paragraph" w:styleId="45">
    <w:name w:val="Caption"/>
    <w:basedOn w:val="608"/>
    <w:next w:val="6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10"/>
    <w:uiPriority w:val="99"/>
    <w:unhideWhenUsed/>
    <w:rPr>
      <w:vertAlign w:val="superscript"/>
    </w:rPr>
  </w:style>
  <w:style w:type="paragraph" w:styleId="177">
    <w:name w:val="endnote text"/>
    <w:basedOn w:val="60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10"/>
    <w:uiPriority w:val="99"/>
    <w:semiHidden/>
    <w:unhideWhenUsed/>
    <w:rPr>
      <w:vertAlign w:val="superscript"/>
    </w:rPr>
  </w:style>
  <w:style w:type="paragraph" w:styleId="180">
    <w:name w:val="toc 1"/>
    <w:basedOn w:val="608"/>
    <w:next w:val="60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8"/>
    <w:next w:val="60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8"/>
    <w:next w:val="60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8"/>
    <w:next w:val="60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8"/>
    <w:next w:val="60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8"/>
    <w:next w:val="60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8"/>
    <w:next w:val="60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8"/>
    <w:next w:val="60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8"/>
    <w:next w:val="60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8"/>
    <w:next w:val="608"/>
    <w:uiPriority w:val="99"/>
    <w:unhideWhenUsed/>
    <w:pPr>
      <w:spacing w:after="0" w:afterAutospacing="0"/>
    </w:pPr>
  </w:style>
  <w:style w:type="paragraph" w:styleId="608" w:default="1">
    <w:name w:val="Normal"/>
    <w:qFormat/>
  </w:style>
  <w:style w:type="paragraph" w:styleId="609">
    <w:name w:val="Heading 3"/>
    <w:basedOn w:val="608"/>
    <w:link w:val="621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10" w:default="1">
    <w:name w:val="Default Paragraph Font"/>
    <w:uiPriority w:val="1"/>
    <w:semiHidden/>
    <w:unhideWhenUsed/>
  </w:style>
  <w:style w:type="table" w:styleId="6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2" w:default="1">
    <w:name w:val="No List"/>
    <w:uiPriority w:val="99"/>
    <w:semiHidden/>
    <w:unhideWhenUsed/>
  </w:style>
  <w:style w:type="character" w:styleId="613">
    <w:name w:val="annotation reference"/>
    <w:basedOn w:val="610"/>
    <w:uiPriority w:val="99"/>
    <w:semiHidden/>
    <w:unhideWhenUsed/>
    <w:rPr>
      <w:sz w:val="16"/>
      <w:szCs w:val="16"/>
    </w:rPr>
  </w:style>
  <w:style w:type="paragraph" w:styleId="614">
    <w:name w:val="annotation text"/>
    <w:basedOn w:val="608"/>
    <w:link w:val="61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15" w:customStyle="1">
    <w:name w:val="Текст примечания Знак"/>
    <w:basedOn w:val="610"/>
    <w:link w:val="614"/>
    <w:uiPriority w:val="99"/>
    <w:semiHidden/>
    <w:rPr>
      <w:sz w:val="20"/>
      <w:szCs w:val="20"/>
    </w:rPr>
  </w:style>
  <w:style w:type="paragraph" w:styleId="616">
    <w:name w:val="annotation subject"/>
    <w:basedOn w:val="614"/>
    <w:next w:val="614"/>
    <w:link w:val="617"/>
    <w:uiPriority w:val="99"/>
    <w:semiHidden/>
    <w:unhideWhenUsed/>
    <w:rPr>
      <w:b/>
      <w:bCs/>
    </w:rPr>
  </w:style>
  <w:style w:type="character" w:styleId="617" w:customStyle="1">
    <w:name w:val="Тема примечания Знак"/>
    <w:basedOn w:val="615"/>
    <w:link w:val="616"/>
    <w:uiPriority w:val="99"/>
    <w:semiHidden/>
    <w:rPr>
      <w:b/>
      <w:bCs/>
      <w:sz w:val="20"/>
      <w:szCs w:val="20"/>
    </w:rPr>
  </w:style>
  <w:style w:type="paragraph" w:styleId="618">
    <w:name w:val="Balloon Text"/>
    <w:basedOn w:val="608"/>
    <w:link w:val="61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19" w:customStyle="1">
    <w:name w:val="Текст выноски Знак"/>
    <w:basedOn w:val="610"/>
    <w:link w:val="618"/>
    <w:uiPriority w:val="99"/>
    <w:semiHidden/>
    <w:rPr>
      <w:rFonts w:ascii="Segoe UI" w:hAnsi="Segoe UI" w:cs="Segoe UI"/>
      <w:sz w:val="18"/>
      <w:szCs w:val="18"/>
    </w:rPr>
  </w:style>
  <w:style w:type="character" w:styleId="620" w:customStyle="1">
    <w:name w:val="markedcontent"/>
    <w:basedOn w:val="610"/>
  </w:style>
  <w:style w:type="character" w:styleId="621" w:customStyle="1">
    <w:name w:val="Заголовок 3 Знак"/>
    <w:basedOn w:val="610"/>
    <w:link w:val="609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22">
    <w:name w:val="List Paragraph"/>
    <w:basedOn w:val="608"/>
    <w:uiPriority w:val="34"/>
    <w:qFormat/>
    <w:pPr>
      <w:contextualSpacing/>
      <w:ind w:left="720"/>
    </w:pPr>
  </w:style>
  <w:style w:type="table" w:styleId="623">
    <w:name w:val="Table Grid"/>
    <w:basedOn w:val="61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4">
    <w:name w:val="Normal (Web)"/>
    <w:basedOn w:val="60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7</cp:revision>
  <dcterms:created xsi:type="dcterms:W3CDTF">2025-06-14T09:35:00Z</dcterms:created>
  <dcterms:modified xsi:type="dcterms:W3CDTF">2025-11-10T14:24:15Z</dcterms:modified>
</cp:coreProperties>
</file>